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5C3E12">
      <w:bookmarkStart w:id="0" w:name="_GoBack"/>
      <w:bookmarkEnd w:id="0"/>
      <w:r>
        <w:t xml:space="preserve">IEEE 802.11ac Данный стандарт работает в частотном спектре 5 – 6 ГГц. Поддерживается совместимость с 11b/11a/11g/11n предусмотренная физической архитектурой. Протокол сертифицирован 12 октября 2013 года. Предоставляет скорости передачи в теории при 8*MU-MIMO до 1 Гбит/с. Основное влияние на улучшение характеристики связи повлияло использование двух новых технологий. </w:t>
      </w:r>
      <w:proofErr w:type="spellStart"/>
      <w:r>
        <w:t>Beamforming</w:t>
      </w:r>
      <w:proofErr w:type="spellEnd"/>
      <w:r>
        <w:t xml:space="preserve"> (рис. 2.3.3) – </w:t>
      </w:r>
      <w:proofErr w:type="gramStart"/>
      <w:r>
        <w:t>( дословно</w:t>
      </w:r>
      <w:proofErr w:type="gramEnd"/>
      <w:r>
        <w:t xml:space="preserve"> «формирование луча» ) способ активного изменения направленности несущего сигнала. </w:t>
      </w:r>
      <w:proofErr w:type="gramStart"/>
      <w:r>
        <w:t>Обязательная для стандарта функция</w:t>
      </w:r>
      <w:proofErr w:type="gramEnd"/>
      <w:r>
        <w:t xml:space="preserve"> обеспечивающая максимальную эффективность вещания, учитывая локацию пользователей. Так же представлено улучшение MIMO, а именно MU-MIMO. Давайте разберемся, что же это такое.</w:t>
      </w:r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12"/>
    <w:rsid w:val="005C3E12"/>
    <w:rsid w:val="009F224A"/>
    <w:rsid w:val="00A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FF59-7AFC-4F8D-A304-962C5FA2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2019-12-23T16:28:00Z</dcterms:created>
  <dcterms:modified xsi:type="dcterms:W3CDTF">2019-12-23T16:28:00Z</dcterms:modified>
</cp:coreProperties>
</file>